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TOOL: Connecting adolescents to support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Use the steps below to help you to collect and share information about services that adolescents might enjoy or benefit from.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Identify where services or programmes are located and take note of the type of support provided, opening hours, contact information and fees.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Share this information with facilitators and adolescents in a user-friendly format. See the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sample template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below:</w:t>
        <w:br w:type="textWrapping"/>
      </w:r>
    </w:p>
    <w:tbl>
      <w:tblPr>
        <w:tblStyle w:val="Table1"/>
        <w:tblW w:w="73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1"/>
        <w:gridCol w:w="3521"/>
        <w:tblGridChange w:id="0">
          <w:tblGrid>
            <w:gridCol w:w="3851"/>
            <w:gridCol w:w="3521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bottom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05">
            <w:pPr>
              <w:spacing w:after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Name of service or programme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Location:</w:t>
            </w:r>
          </w:p>
        </w:tc>
      </w:tr>
      <w:tr>
        <w:trPr>
          <w:cantSplit w:val="0"/>
          <w:trHeight w:val="1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Type of service provided (e.g. health, education, child protection):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Hours of service:</w:t>
            </w:r>
          </w:p>
        </w:tc>
      </w:tr>
      <w:tr>
        <w:trPr>
          <w:cantSplit w:val="0"/>
          <w:trHeight w:val="1133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Description of service provided: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Contact person name and phone number: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Beneficiaries (available to):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Fees (if any):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Other comments:</w:t>
            </w:r>
          </w:p>
        </w:tc>
      </w:tr>
    </w:tbl>
    <w:p w:rsidR="00000000" w:rsidDel="00000000" w:rsidP="00000000" w:rsidRDefault="00000000" w:rsidRPr="00000000" w14:paraId="0000000F">
      <w:pPr>
        <w:spacing w:after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Assess whether services or programmes are adolescent-friendly and uphold minimum standards for children in humanitarian crises.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lineRule="auto"/>
        <w:ind w:left="357" w:hanging="357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Can adolescent girls and boys, including those with and without disabilities, safely and comfortably access services?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lineRule="auto"/>
        <w:ind w:left="357" w:hanging="357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Does the programme or service provide information in an adolescent-friendly way?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lineRule="auto"/>
        <w:ind w:left="357" w:hanging="357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Are staff or volunteers trained to work with adolescents and to uphold all relevant standards (such as protection and confidentiality)?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Ensure that scheduled activities with the Adolescent Kit don’t conflict with essential programmes and services for adolescents.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Encourage adolescents to assess services or programmes and to provide feedback about their accessibility, safety or quality.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vertAlign w:val="baseline"/>
          <w:rtl w:val="0"/>
        </w:rPr>
        <w:t xml:space="preserve">Insert icon for: Talk to adolescents and listen</w:t>
        <w:br w:type="textWrapping"/>
      </w:r>
      <w:r w:rsidDel="00000000" w:rsidR="00000000" w:rsidRPr="00000000">
        <w:rPr>
          <w:sz w:val="24"/>
          <w:szCs w:val="24"/>
          <w:vertAlign w:val="baseline"/>
          <w:rtl w:val="0"/>
        </w:rPr>
        <w:br w:type="textWrapping"/>
      </w:r>
    </w:p>
    <w:tbl>
      <w:tblPr>
        <w:tblStyle w:val="Table2"/>
        <w:tblW w:w="94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7102"/>
        <w:tblGridChange w:id="0">
          <w:tblGrid>
            <w:gridCol w:w="2376"/>
            <w:gridCol w:w="7102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gridSpan w:val="2"/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Possible services, programmes and support for adolescents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Food, water and essential supplies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12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Food distribution centres and markets</w:t>
              <w:br w:type="textWrapping"/>
              <w:t xml:space="preserve">Supplemental feeding programmes</w:t>
              <w:br w:type="textWrapping"/>
              <w:t xml:space="preserve">Micronutrient distribution</w:t>
              <w:br w:type="textWrapping"/>
              <w:t xml:space="preserve">Water distribution (e.g. trucked water), water pumps or boreholes </w:t>
              <w:br w:type="textWrapping"/>
              <w:t xml:space="preserve">Non-food item (NFI) distribution: Tents, tarpaulins, cooking utensils, bedding, fuel or firewood, soap, menstrual hygiene supplies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Health care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12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Clinics and primary health care services</w:t>
              <w:br w:type="textWrapping"/>
              <w:t xml:space="preserve">Emergency health care</w:t>
              <w:br w:type="textWrapping"/>
              <w:t xml:space="preserve">Mental health and counselling </w:t>
              <w:br w:type="textWrapping"/>
              <w:t xml:space="preserve">Reproductive health care services</w:t>
              <w:br w:type="textWrapping"/>
              <w:t xml:space="preserve">Condom and other contraception distribution </w:t>
              <w:br w:type="textWrapping"/>
              <w:t xml:space="preserve">HIV/AIDS testing and counselling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Education, learning and information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2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Formal schools</w:t>
              <w:br w:type="textWrapping"/>
              <w:t xml:space="preserve">Non-formal education programmes: vocational, literacy, financial skills, computers, health and hygiene, life skills, arts and others</w:t>
              <w:br w:type="textWrapping"/>
              <w:t xml:space="preserve">Mentoring and tutoring programmes</w:t>
              <w:br w:type="textWrapping"/>
              <w:t xml:space="preserve">Libraries or study spaces</w:t>
              <w:br w:type="textWrapping"/>
              <w:t xml:space="preserve">Computer/internet access</w:t>
            </w:r>
          </w:p>
        </w:tc>
      </w:tr>
      <w:tr>
        <w:trPr>
          <w:cantSplit w:val="0"/>
          <w:trHeight w:val="238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Protection and legal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12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Support for separated and unaccompanied children</w:t>
              <w:br w:type="textWrapping"/>
              <w:t xml:space="preserve">Protection services for children affected by abuse, neglect, exploitation and violence.</w:t>
              <w:br w:type="textWrapping"/>
              <w:t xml:space="preserve">Gender-based violence services</w:t>
              <w:br w:type="textWrapping"/>
              <w:t xml:space="preserve">Legal counselling/representation for children in contact with the law</w:t>
              <w:br w:type="textWrapping"/>
              <w:t xml:space="preserve">Child protection committees or networks</w:t>
              <w:br w:type="textWrapping"/>
              <w:t xml:space="preserve">Chid Friendly Spaces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Arts, recreation and sports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12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Arts programmes</w:t>
              <w:br w:type="textWrapping"/>
              <w:t xml:space="preserve">Sports and recreation programmes or facilities</w:t>
              <w:br w:type="textWrapping"/>
              <w:t xml:space="preserve">Informal arts activities (e.g. drumming circles)</w:t>
              <w:br w:type="textWrapping"/>
              <w:t xml:space="preserve">Informal sports activities (e.g. evening football, pick-up basketball)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Clubs and organizations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12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Youth clubs and centres</w:t>
              <w:br w:type="textWrapping"/>
              <w:t xml:space="preserve">Children’s clubs (e.g. Child-to-Child Clubs, peace committees, etc.)</w:t>
              <w:br w:type="textWrapping"/>
              <w:t xml:space="preserve">Drama, dance and music groups</w:t>
            </w:r>
          </w:p>
        </w:tc>
      </w:tr>
    </w:tbl>
    <w:p w:rsidR="00000000" w:rsidDel="00000000" w:rsidP="00000000" w:rsidRDefault="00000000" w:rsidRPr="00000000" w14:paraId="00000028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